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BB01DD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BB01DD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BB01DD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BB01DD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20, проводимом в форме очно-заочного голосования в период с 10.02.2023 г. по 31.03.2023 г.</w:t>
      </w: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AC1B73" w:rsidRPr="00BB01DD" w:rsidTr="00BB01DD">
        <w:tc>
          <w:tcPr>
            <w:tcW w:w="5103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BB01DD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BB01DD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BB01DD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B01DD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AC1B73" w:rsidRPr="00BB01DD" w:rsidTr="00BB01DD">
        <w:trPr>
          <w:trHeight w:val="300"/>
        </w:trPr>
        <w:tc>
          <w:tcPr>
            <w:tcW w:w="5103" w:type="dxa"/>
            <w:shd w:val="clear" w:color="auto" w:fill="auto"/>
          </w:tcPr>
          <w:p w:rsidR="00AC1B73" w:rsidRPr="001C53B2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AC1B73" w:rsidRPr="001C53B2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10490" w:type="dxa"/>
            <w:gridSpan w:val="2"/>
            <w:shd w:val="clear" w:color="auto" w:fill="auto"/>
          </w:tcPr>
          <w:p w:rsidR="00AC1B73" w:rsidRPr="001C53B2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53B2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AC1B73" w:rsidRPr="00BB01DD" w:rsidTr="00BB01DD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AC1B73" w:rsidRPr="001C53B2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10490" w:type="dxa"/>
            <w:gridSpan w:val="2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B01DD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AC1B73" w:rsidRPr="00BB01DD" w:rsidTr="001C53B2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10490" w:type="dxa"/>
            <w:gridSpan w:val="2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B01DD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BB01DD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BB01DD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AC1B73" w:rsidRPr="00BB01DD" w:rsidTr="00BB01DD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AC1B73" w:rsidRPr="001C53B2" w:rsidRDefault="00AC1B73" w:rsidP="00BB01DD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BB01DD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BB01DD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BB01DD">
        <w:rPr>
          <w:rFonts w:ascii="Arial Narrow" w:hAnsi="Arial Narrow"/>
          <w:b/>
          <w:sz w:val="22"/>
          <w:szCs w:val="22"/>
        </w:rPr>
        <w:t>ЗА</w:t>
      </w:r>
      <w:proofErr w:type="gramEnd"/>
      <w:r w:rsidRPr="00BB01DD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BB01DD">
        <w:rPr>
          <w:rFonts w:ascii="Arial Narrow" w:hAnsi="Arial Narrow"/>
          <w:b/>
          <w:sz w:val="22"/>
          <w:szCs w:val="22"/>
        </w:rPr>
        <w:t>ДАТА ЗАПОЛНЕНИЯ решения с 10.02.2023 г. по 31.03.2023 г.</w:t>
      </w: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BB01DD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BB01DD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BB01DD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BB01DD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20,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AC1B73" w:rsidRPr="00BB01DD" w:rsidTr="00BB01DD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AC1B73" w:rsidRPr="00BB01DD" w:rsidRDefault="00AC1B73" w:rsidP="00BB01DD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01DD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01DD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01DD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01DD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с  управляющей организацией ООО «Охта-Сервис ЖЭУ-1», ИНН 7804498036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36 коп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29 руб. 36 коп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BB01DD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BB01DD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1.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7,81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2.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      3,62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3.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3,81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4.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 xml:space="preserve">                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2,42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5.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BB01DD">
              <w:rPr>
                <w:rFonts w:ascii="Arial Narrow" w:hAnsi="Arial Narrow"/>
                <w:sz w:val="18"/>
                <w:szCs w:val="18"/>
              </w:rPr>
              <w:tab/>
              <w:t xml:space="preserve">   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             4,14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6.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 Обслуживание УУТЭ                           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                 0,88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Содержание и ремонт лифтов    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                          4,16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8.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Содержание и ремонт АИТП       </w:t>
            </w:r>
            <w:r w:rsidR="00BB01DD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BB01DD">
              <w:rPr>
                <w:rFonts w:ascii="Arial Narrow" w:hAnsi="Arial Narrow"/>
                <w:sz w:val="18"/>
                <w:szCs w:val="18"/>
              </w:rPr>
              <w:t xml:space="preserve">                                 2,52</w:t>
            </w:r>
          </w:p>
          <w:p w:rsidR="00AC1B73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1C53B2" w:rsidRPr="00BB01DD" w:rsidRDefault="001C53B2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AC1B73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BB01DD" w:rsidRPr="00BB01DD" w:rsidRDefault="00BB01DD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C1B73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BB01DD" w:rsidRPr="00BB01DD" w:rsidRDefault="00BB01DD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>Вопрос №10.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BB01DD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C1B73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BB01DD" w:rsidRPr="00BB01DD" w:rsidRDefault="00BB01DD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1B73" w:rsidRPr="00BB01DD" w:rsidTr="00BB01DD">
        <w:tc>
          <w:tcPr>
            <w:tcW w:w="8931" w:type="dxa"/>
            <w:shd w:val="clear" w:color="auto" w:fill="auto"/>
          </w:tcPr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 xml:space="preserve">Вопрос </w:t>
            </w:r>
          </w:p>
          <w:p w:rsidR="00AC1B73" w:rsidRP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b/>
                <w:sz w:val="18"/>
                <w:szCs w:val="18"/>
              </w:rPr>
              <w:t>№11.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BB01DD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01D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C1B73" w:rsidRDefault="00AC1B73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BB01DD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BB01DD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BB01DD" w:rsidRPr="00BB01DD" w:rsidRDefault="00BB01DD" w:rsidP="00BB01D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B01DD" w:rsidRDefault="00BB01DD" w:rsidP="00BB01DD">
      <w:pPr>
        <w:tabs>
          <w:tab w:val="left" w:pos="397"/>
        </w:tabs>
        <w:jc w:val="both"/>
        <w:rPr>
          <w:rFonts w:ascii="Arial Narrow" w:hAnsi="Arial Narrow"/>
          <w:sz w:val="24"/>
          <w:szCs w:val="24"/>
        </w:rPr>
      </w:pPr>
    </w:p>
    <w:p w:rsidR="00BB01DD" w:rsidRPr="00BB01DD" w:rsidRDefault="00BB01DD" w:rsidP="00BB01DD">
      <w:pPr>
        <w:tabs>
          <w:tab w:val="left" w:pos="397"/>
        </w:tabs>
        <w:jc w:val="both"/>
        <w:rPr>
          <w:rFonts w:ascii="Arial Narrow" w:hAnsi="Arial Narrow"/>
          <w:bCs/>
        </w:rPr>
      </w:pPr>
      <w:r w:rsidRPr="00BB01DD">
        <w:rPr>
          <w:rFonts w:ascii="Arial Narrow" w:hAnsi="Arial Narrow"/>
          <w:sz w:val="24"/>
          <w:szCs w:val="24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  <w:r w:rsidRPr="00BB01DD">
        <w:rPr>
          <w:rFonts w:ascii="Arial Narrow" w:hAnsi="Arial Narrow"/>
        </w:rPr>
        <w:t>* Проект договора управления</w:t>
      </w:r>
      <w:r w:rsidRPr="00BB01DD">
        <w:rPr>
          <w:rFonts w:ascii="Arial Narrow" w:eastAsia="Arial Unicode MS" w:hAnsi="Arial Narrow"/>
        </w:rPr>
        <w:t xml:space="preserve"> МКД,</w:t>
      </w:r>
      <w:r w:rsidRPr="00BB01DD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BB01DD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BB01DD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AC1B73" w:rsidRPr="00BB01DD" w:rsidTr="00AC1B73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BB01D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B01D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AC1B73" w:rsidRPr="00BB01DD" w:rsidTr="00AC1B73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01DD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01DD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B73" w:rsidRPr="00BB01DD" w:rsidRDefault="00AC1B73" w:rsidP="00BB01D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01DD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AC1B73" w:rsidRPr="00BB01DD" w:rsidRDefault="00AC1B73" w:rsidP="00BB01D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AC1B73" w:rsidRPr="00BB01DD" w:rsidSect="00BB01D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73"/>
    <w:rsid w:val="001C53B2"/>
    <w:rsid w:val="002F676B"/>
    <w:rsid w:val="00813568"/>
    <w:rsid w:val="00AC1B73"/>
    <w:rsid w:val="00BB01DD"/>
    <w:rsid w:val="00C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C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BB01DD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BB0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C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BB01DD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BB0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2023-02-03T11:25:00Z</dcterms:created>
  <dcterms:modified xsi:type="dcterms:W3CDTF">2023-02-03T11:25:00Z</dcterms:modified>
</cp:coreProperties>
</file>